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3B9A" w14:textId="77777777" w:rsidR="00CF3D53" w:rsidRPr="007B0F19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  <w:lang w:val="en-US"/>
        </w:rPr>
      </w:pPr>
      <w:bookmarkStart w:id="0" w:name="_GoBack"/>
      <w:bookmarkEnd w:id="0"/>
    </w:p>
    <w:p w14:paraId="26FA3659" w14:textId="77777777" w:rsidR="00CF3D53" w:rsidRDefault="007B0F19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  <w:lang w:val="en-US"/>
        </w:rPr>
      </w:pPr>
      <w:r>
        <w:rPr>
          <w:rFonts w:cstheme="minorHAnsi"/>
          <w:b/>
          <w:i w:val="0"/>
          <w:iCs w:val="0"/>
          <w:sz w:val="26"/>
          <w:szCs w:val="26"/>
          <w:u w:val="single"/>
          <w:lang w:val="en-US"/>
        </w:rPr>
        <w:t>SOS -TORTURE/BURUNDI REPORT NO. 166 PUBLISHED ON 16 FEBRUARY 2019</w:t>
      </w:r>
    </w:p>
    <w:p w14:paraId="6803BF09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  <w:lang w:val="en-US"/>
        </w:rPr>
      </w:pPr>
    </w:p>
    <w:p w14:paraId="72C4A547" w14:textId="77777777" w:rsidR="00CF3D53" w:rsidRDefault="007B0F19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>
        <w:rPr>
          <w:rFonts w:cstheme="minorHAnsi"/>
          <w:i w:val="0"/>
          <w:iCs w:val="0"/>
          <w:sz w:val="24"/>
          <w:szCs w:val="24"/>
          <w:lang w:val="en-US"/>
        </w:rPr>
        <w:t xml:space="preserve">This report by SOS-Torture/Burundi covers the period from 9 to 16 February 2019 concerning cases of human rights violations and abuses in Burundi. </w:t>
      </w:r>
    </w:p>
    <w:p w14:paraId="7D05979D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5A9667EE" w14:textId="77777777" w:rsidR="00CF3D53" w:rsidRDefault="007B0F19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>
        <w:rPr>
          <w:rFonts w:cstheme="minorHAnsi"/>
          <w:i w:val="0"/>
          <w:iCs w:val="0"/>
          <w:sz w:val="24"/>
          <w:szCs w:val="24"/>
          <w:lang w:val="en-US"/>
        </w:rPr>
        <w:t xml:space="preserve">At least three (3) people were murdered during the period and in different localities. Among the victims, a decapitated man whose head is the only part discovered. Another man who was murdered and whose lifeless body was found in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Cibitoke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has not been iden</w:t>
      </w:r>
      <w:r>
        <w:rPr>
          <w:rFonts w:cstheme="minorHAnsi"/>
          <w:i w:val="0"/>
          <w:iCs w:val="0"/>
          <w:sz w:val="24"/>
          <w:szCs w:val="24"/>
          <w:lang w:val="en-US"/>
        </w:rPr>
        <w:t xml:space="preserve">tified. </w:t>
      </w:r>
    </w:p>
    <w:p w14:paraId="571E0614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35DC0755" w14:textId="77777777" w:rsidR="00CF3D53" w:rsidRDefault="007B0F19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>
        <w:rPr>
          <w:rFonts w:cstheme="minorHAnsi"/>
          <w:i w:val="0"/>
          <w:iCs w:val="0"/>
          <w:sz w:val="24"/>
          <w:szCs w:val="24"/>
          <w:lang w:val="en-US"/>
        </w:rPr>
        <w:t xml:space="preserve">The report refers to the flagrant seizure of several firearms at the homes of influential members of the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militia in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>. Despite this seizure, the owners of these weapons were released after a few days of detention and no prosecu</w:t>
      </w:r>
      <w:r>
        <w:rPr>
          <w:rFonts w:cstheme="minorHAnsi"/>
          <w:i w:val="0"/>
          <w:iCs w:val="0"/>
          <w:sz w:val="24"/>
          <w:szCs w:val="24"/>
          <w:lang w:val="en-US"/>
        </w:rPr>
        <w:t xml:space="preserve">tion was initiated. </w:t>
      </w:r>
    </w:p>
    <w:p w14:paraId="55120817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2FCD4DBF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722C67BC" w14:textId="77777777" w:rsidR="00CF3D53" w:rsidRDefault="007B0F19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iCs w:val="0"/>
          <w:sz w:val="24"/>
          <w:szCs w:val="24"/>
          <w:lang w:val="en-US"/>
        </w:rPr>
      </w:pPr>
      <w:r>
        <w:rPr>
          <w:rFonts w:cstheme="minorHAnsi"/>
          <w:b/>
          <w:i w:val="0"/>
          <w:iCs w:val="0"/>
          <w:sz w:val="24"/>
          <w:szCs w:val="24"/>
          <w:lang w:val="en-US"/>
        </w:rPr>
        <w:t>1.</w:t>
      </w:r>
      <w:r>
        <w:rPr>
          <w:rFonts w:cstheme="minorHAnsi"/>
          <w:b/>
          <w:i w:val="0"/>
          <w:iCs w:val="0"/>
          <w:sz w:val="24"/>
          <w:szCs w:val="24"/>
          <w:lang w:val="en-US"/>
        </w:rPr>
        <w:tab/>
        <w:t>Violations of the right to life and physical integrity</w:t>
      </w:r>
    </w:p>
    <w:p w14:paraId="2C947ED9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57D325DE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>
        <w:rPr>
          <w:rFonts w:cstheme="minorHAnsi"/>
          <w:i w:val="0"/>
          <w:iCs w:val="0"/>
          <w:sz w:val="24"/>
          <w:szCs w:val="24"/>
          <w:lang w:val="en-US"/>
        </w:rPr>
        <w:t xml:space="preserve">Unidentified individuals murdered Charles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Ndayisaba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on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Muyange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Hill,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Nyarusange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commune,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Gitega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province (central part of the country) on the evening of 8 February 2019. The </w:t>
      </w:r>
      <w:r>
        <w:rPr>
          <w:rFonts w:cstheme="minorHAnsi"/>
          <w:i w:val="0"/>
          <w:iCs w:val="0"/>
          <w:sz w:val="24"/>
          <w:szCs w:val="24"/>
          <w:lang w:val="en-US"/>
        </w:rPr>
        <w:t xml:space="preserve">victim was attacked at his workplace: an agency of the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Lumitel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telecommunications company for which Mr.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Ndayisaba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was a sentinel.</w:t>
      </w:r>
    </w:p>
    <w:p w14:paraId="5A60AA16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4969F22C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-Torture / Burundi noted that the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Nyarusange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police have not identified any suspects to date.</w:t>
      </w:r>
    </w:p>
    <w:p w14:paraId="007C5635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3D03E906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>
        <w:rPr>
          <w:rFonts w:cstheme="minorHAnsi"/>
          <w:i w:val="0"/>
          <w:iCs w:val="0"/>
          <w:sz w:val="24"/>
          <w:szCs w:val="24"/>
          <w:lang w:val="en-US"/>
        </w:rPr>
        <w:t>Unidentified individuals mu</w:t>
      </w:r>
      <w:r>
        <w:rPr>
          <w:rFonts w:cstheme="minorHAnsi"/>
          <w:i w:val="0"/>
          <w:iCs w:val="0"/>
          <w:sz w:val="24"/>
          <w:szCs w:val="24"/>
          <w:lang w:val="en-US"/>
        </w:rPr>
        <w:t xml:space="preserve">rdered and beheaded a man whose head was discovered on the site of a water harvesting station in the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Carama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district,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Kinama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area, </w:t>
      </w: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Ntahangwa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 xml:space="preserve"> commune (north of the town of Bujumbura) on 10 February 2019. Witnesses reported that socks and a pair of boots wer</w:t>
      </w:r>
      <w:r>
        <w:rPr>
          <w:rFonts w:cstheme="minorHAnsi"/>
          <w:i w:val="0"/>
          <w:iCs w:val="0"/>
          <w:sz w:val="24"/>
          <w:szCs w:val="24"/>
          <w:lang w:val="en-US"/>
        </w:rPr>
        <w:t>e near the victim's head.</w:t>
      </w:r>
    </w:p>
    <w:p w14:paraId="5A0F66B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1BE56AFB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iCs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iCs w:val="0"/>
          <w:sz w:val="24"/>
          <w:szCs w:val="24"/>
          <w:lang w:val="en-US"/>
        </w:rPr>
        <w:t>-Torture / Burundi notes that the police have not identified the victim to date, nor determined the circumstances of her murder</w:t>
      </w:r>
      <w:r>
        <w:rPr>
          <w:rFonts w:cstheme="minorHAnsi"/>
          <w:i w:val="0"/>
          <w:sz w:val="24"/>
          <w:szCs w:val="24"/>
          <w:lang w:val="en-US"/>
        </w:rPr>
        <w:t xml:space="preserve">. </w:t>
      </w:r>
    </w:p>
    <w:p w14:paraId="4B45DE7F" w14:textId="77777777" w:rsidR="00CF3D53" w:rsidRDefault="00CF3D53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52759AA2" w14:textId="77777777" w:rsidR="00CF3D53" w:rsidRDefault="00CF3D53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04BA134B" w14:textId="77777777" w:rsidR="00CF3D53" w:rsidRDefault="00CF3D53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7182E0EF" w14:textId="77777777" w:rsidR="00CF3D53" w:rsidRDefault="00CF3D53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44FC35F9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1AAF62C2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556C6306" w14:textId="77777777" w:rsidR="00CF3D53" w:rsidRDefault="007B0F19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>
        <w:rPr>
          <w:rFonts w:cstheme="minorHAnsi"/>
          <w:b/>
          <w:i w:val="0"/>
          <w:sz w:val="24"/>
          <w:szCs w:val="24"/>
        </w:rPr>
        <w:lastRenderedPageBreak/>
        <w:t>ATTENTION TO THE PICTURES !</w:t>
      </w:r>
    </w:p>
    <w:p w14:paraId="3A1FC003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6F15FCF7" w14:textId="77777777" w:rsidR="00CF3D53" w:rsidRDefault="007B0F19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18" behindDoc="0" locked="0" layoutInCell="1" allowOverlap="1" wp14:anchorId="035E86FB" wp14:editId="5C6D0B0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95015" cy="44157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693A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60AC4F1A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4D6390E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7FBBD74B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643F5A78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6D7EA21B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2E1DD0F5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48E61740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3E16E0B2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0EB6DC77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183485D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320057D0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523588F3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6AD3A991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551D10F7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5720C625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1F5E614B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02C74AA6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328771F6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112BB1E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5455AD7C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75ED4676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2AB50398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7D57B941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296AE70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color w:val="17365D" w:themeColor="text2" w:themeShade="BF"/>
          <w:lang w:val="en-US"/>
        </w:rPr>
      </w:pPr>
    </w:p>
    <w:p w14:paraId="052EC20E" w14:textId="77777777" w:rsidR="00CF3D53" w:rsidRDefault="007B0F19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b/>
          <w:i w:val="0"/>
          <w:lang w:val="en-US"/>
        </w:rPr>
      </w:pPr>
      <w:r>
        <w:rPr>
          <w:rFonts w:cstheme="minorHAnsi"/>
          <w:b/>
          <w:i w:val="0"/>
          <w:color w:val="17365D" w:themeColor="text2" w:themeShade="BF"/>
          <w:lang w:val="en-US"/>
        </w:rPr>
        <w:t xml:space="preserve">The decapitated victim was not </w:t>
      </w:r>
      <w:r>
        <w:rPr>
          <w:rFonts w:cstheme="minorHAnsi"/>
          <w:b/>
          <w:i w:val="0"/>
          <w:color w:val="17365D" w:themeColor="text2" w:themeShade="BF"/>
          <w:lang w:val="en-US"/>
        </w:rPr>
        <w:t>identified</w:t>
      </w:r>
    </w:p>
    <w:p w14:paraId="6DD74EE0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77F9E5A0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 xml:space="preserve">A group of unidentified individuals carried out an attack on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Buramata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Hill,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Gihanga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Bubanza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province (western part of the country) on 11 February 2019 in </w:t>
      </w:r>
      <w:proofErr w:type="gramStart"/>
      <w:r>
        <w:rPr>
          <w:rFonts w:cstheme="minorHAnsi"/>
          <w:i w:val="0"/>
          <w:sz w:val="24"/>
          <w:szCs w:val="24"/>
          <w:lang w:val="en-US"/>
        </w:rPr>
        <w:t>the</w:t>
      </w:r>
      <w:proofErr w:type="gramEnd"/>
      <w:r>
        <w:rPr>
          <w:rFonts w:cstheme="minorHAnsi"/>
          <w:i w:val="0"/>
          <w:sz w:val="24"/>
          <w:szCs w:val="24"/>
          <w:lang w:val="en-US"/>
        </w:rPr>
        <w:t xml:space="preserve"> evening. Witnesses report that they wounded a man.</w:t>
      </w:r>
    </w:p>
    <w:p w14:paraId="48EB2DE0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014BC2DF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-Torture/Burundi notes</w:t>
      </w:r>
      <w:r>
        <w:rPr>
          <w:rFonts w:cstheme="minorHAnsi"/>
          <w:i w:val="0"/>
          <w:sz w:val="24"/>
          <w:szCs w:val="24"/>
          <w:lang w:val="en-US"/>
        </w:rPr>
        <w:t xml:space="preserve"> that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Gihanga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police intervened to stop the attack, but the agents did not arrest any members of this group. </w:t>
      </w:r>
    </w:p>
    <w:p w14:paraId="527F85FB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0143C508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 xml:space="preserve">Unidentified individuals murdered a man whose decomposing body was discovered on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Bambo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Hill,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Murwi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Cibitoke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province (northwest of the c</w:t>
      </w:r>
      <w:r>
        <w:rPr>
          <w:rFonts w:cstheme="minorHAnsi"/>
          <w:i w:val="0"/>
          <w:sz w:val="24"/>
          <w:szCs w:val="24"/>
          <w:lang w:val="en-US"/>
        </w:rPr>
        <w:t>ountry) on February 13, 2018. Witnesses report that the victim was tied up to a tree, proof of an execution.</w:t>
      </w:r>
    </w:p>
    <w:p w14:paraId="1FEA707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7FEA482B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lastRenderedPageBreak/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-Torture/Burundi notes that the victim was identified neither by the local inhabitants nor by the administrative authorities. However, these sa</w:t>
      </w:r>
      <w:r>
        <w:rPr>
          <w:rFonts w:cstheme="minorHAnsi"/>
          <w:i w:val="0"/>
          <w:sz w:val="24"/>
          <w:szCs w:val="24"/>
          <w:lang w:val="en-US"/>
        </w:rPr>
        <w:t>me authorities ordered the burial of this man, without allowing further investigations to identify him and the circumstances of his murder</w:t>
      </w:r>
    </w:p>
    <w:p w14:paraId="59DFA061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73188A1E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0F779BC9" w14:textId="77777777" w:rsidR="00CF3D53" w:rsidRDefault="007B0F19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b/>
          <w:i w:val="0"/>
          <w:sz w:val="24"/>
          <w:szCs w:val="24"/>
          <w:lang w:val="en-US"/>
        </w:rPr>
      </w:pPr>
      <w:r>
        <w:rPr>
          <w:rFonts w:cstheme="minorHAnsi"/>
          <w:b/>
          <w:i w:val="0"/>
          <w:sz w:val="24"/>
          <w:szCs w:val="24"/>
          <w:lang w:val="en-US"/>
        </w:rPr>
        <w:t>Violations of the right to liberty and physical security</w:t>
      </w:r>
    </w:p>
    <w:p w14:paraId="7AA01D4C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b/>
          <w:i w:val="0"/>
          <w:sz w:val="24"/>
          <w:szCs w:val="24"/>
          <w:lang w:val="en-US"/>
        </w:rPr>
      </w:pPr>
    </w:p>
    <w:p w14:paraId="6B90DE0C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t>Rumonge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prosecutor's office detained five (5) young men </w:t>
      </w:r>
      <w:r>
        <w:rPr>
          <w:rFonts w:cstheme="minorHAnsi"/>
          <w:i w:val="0"/>
          <w:sz w:val="24"/>
          <w:szCs w:val="24"/>
          <w:lang w:val="en-US"/>
        </w:rPr>
        <w:t xml:space="preserve">arrested on January 10, 2019 and never charged with an offence for prolonged and unlawful detention. They are Emmanuel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Niyonganji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Mélance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Irambona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Pascal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Ahishakiye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Rénovat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Ninteretse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and Jean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Bosco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Niyomwungere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. Since their arrest,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Rumonge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prosecutor's</w:t>
      </w:r>
      <w:r>
        <w:rPr>
          <w:rFonts w:cstheme="minorHAnsi"/>
          <w:i w:val="0"/>
          <w:sz w:val="24"/>
          <w:szCs w:val="24"/>
          <w:lang w:val="en-US"/>
        </w:rPr>
        <w:t xml:space="preserve"> office has not provided any evidence or witnesses to support the charges against these young men. They are accused of having erased writings on a monument of the ruling party CNDD FDD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Burambi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 (see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-Torture Burundi report No. 162: http://sost</w:t>
      </w:r>
      <w:r>
        <w:rPr>
          <w:rFonts w:cstheme="minorHAnsi"/>
          <w:i w:val="0"/>
          <w:sz w:val="24"/>
          <w:szCs w:val="24"/>
          <w:lang w:val="en-US"/>
        </w:rPr>
        <w:t>ortureburundi.org/wp-content/uploads/2019/01/SOS_Torture_Burundi_numero_162.docx).</w:t>
      </w:r>
    </w:p>
    <w:p w14:paraId="2FA372DD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2C7A4F8B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-Torture/Burundi notes that these five (5) young men were finally released on 13 February 2019 following the family pressure. They confirmed that the young men were vict</w:t>
      </w:r>
      <w:r>
        <w:rPr>
          <w:rFonts w:cstheme="minorHAnsi"/>
          <w:i w:val="0"/>
          <w:sz w:val="24"/>
          <w:szCs w:val="24"/>
          <w:lang w:val="en-US"/>
        </w:rPr>
        <w:t>ims of their political affiliation to MSD (Movement for Solidarity and Democracy).</w:t>
      </w:r>
    </w:p>
    <w:p w14:paraId="6B4A575E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1E06A31E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 xml:space="preserve">Agents of the national intelligence service arrested several influential members of the ruling party CNDD-FDD and its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militiamen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 and provinc</w:t>
      </w:r>
      <w:r>
        <w:rPr>
          <w:rFonts w:cstheme="minorHAnsi"/>
          <w:i w:val="0"/>
          <w:sz w:val="24"/>
          <w:szCs w:val="24"/>
          <w:lang w:val="en-US"/>
        </w:rPr>
        <w:t xml:space="preserve">e (northern part of the country) on 11 February 2019. Witnesses report that these arrests are the result of a search and seizure operation that resulted in the seizure of many firearms, including assault rifles. The targeted and arrested persons are: Abel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Ahishakiye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(representative of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militiamen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),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Minani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(vice-representative of the same militia),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Nkurunziza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and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Macumi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(former chief of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Cewe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zone of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commune). Witnesses also reported that at the latter's home (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Macumi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), SNR offic</w:t>
      </w:r>
      <w:r>
        <w:rPr>
          <w:rFonts w:cstheme="minorHAnsi"/>
          <w:i w:val="0"/>
          <w:sz w:val="24"/>
          <w:szCs w:val="24"/>
          <w:lang w:val="en-US"/>
        </w:rPr>
        <w:t xml:space="preserve">ers seized 4 Kalashnikov rifles. </w:t>
      </w:r>
    </w:p>
    <w:p w14:paraId="7FAC7403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15EB872F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-Torture/Burundi notes that these seizures confirm allegations of the distribution of weapons to members of the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militiamen in order to maintain terror and track down opponents. However, the persons arreste</w:t>
      </w:r>
      <w:r>
        <w:rPr>
          <w:rFonts w:cstheme="minorHAnsi"/>
          <w:i w:val="0"/>
          <w:sz w:val="24"/>
          <w:szCs w:val="24"/>
          <w:lang w:val="en-US"/>
        </w:rPr>
        <w:t xml:space="preserve">d in possession of these weapons were released only after three (3) days of detention, the file was reportedly closed without further action by the police in complicity with the Public Prosecutor's </w:t>
      </w:r>
      <w:r>
        <w:rPr>
          <w:rFonts w:cstheme="minorHAnsi"/>
          <w:i w:val="0"/>
          <w:sz w:val="24"/>
          <w:szCs w:val="24"/>
          <w:lang w:val="en-US"/>
        </w:rPr>
        <w:lastRenderedPageBreak/>
        <w:t xml:space="preserve">Office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. These releases thus indicate the author</w:t>
      </w:r>
      <w:r>
        <w:rPr>
          <w:rFonts w:cstheme="minorHAnsi"/>
          <w:i w:val="0"/>
          <w:sz w:val="24"/>
          <w:szCs w:val="24"/>
          <w:lang w:val="en-US"/>
        </w:rPr>
        <w:t xml:space="preserve">ities' complicity in the abuses committed by members of the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militiamen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Kirundo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. </w:t>
      </w:r>
    </w:p>
    <w:p w14:paraId="07ADE5BA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3552C745" w14:textId="77777777" w:rsidR="00CF3D53" w:rsidRDefault="007B0F19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 xml:space="preserve">Members of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imbonerakure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militiamen attacked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Arsène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a resident of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Nyamugari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quarter,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Gitega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commune and province (central part of the country) on February 11,</w:t>
      </w:r>
      <w:r>
        <w:rPr>
          <w:rFonts w:cstheme="minorHAnsi"/>
          <w:i w:val="0"/>
          <w:sz w:val="24"/>
          <w:szCs w:val="24"/>
          <w:lang w:val="en-US"/>
        </w:rPr>
        <w:t xml:space="preserve"> 2019. Witnesses report that militiamen broke down the door of his home with clubs.</w:t>
      </w:r>
    </w:p>
    <w:p w14:paraId="43B36C78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55551F98" w14:textId="77777777" w:rsidR="00CF3D53" w:rsidRDefault="007B0F19">
      <w:pPr>
        <w:tabs>
          <w:tab w:val="left" w:pos="1080"/>
        </w:tabs>
        <w:spacing w:after="0" w:line="276" w:lineRule="auto"/>
        <w:ind w:left="72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proofErr w:type="spellStart"/>
      <w:r>
        <w:rPr>
          <w:rFonts w:cstheme="minorHAnsi"/>
          <w:i w:val="0"/>
          <w:sz w:val="24"/>
          <w:szCs w:val="24"/>
          <w:lang w:val="en-US"/>
        </w:rPr>
        <w:t>Sos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-Torture/Burundi notes that the victim in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defence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injured one of the attackers named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Ido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Munezero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>. However, the police arrested the victim who was assaulted, leaving th</w:t>
      </w:r>
      <w:r>
        <w:rPr>
          <w:rFonts w:cstheme="minorHAnsi"/>
          <w:i w:val="0"/>
          <w:sz w:val="24"/>
          <w:szCs w:val="24"/>
          <w:lang w:val="en-US"/>
        </w:rPr>
        <w:t>e militiamen who attacked him at his home free to do so</w:t>
      </w:r>
    </w:p>
    <w:p w14:paraId="3DA9E88E" w14:textId="77777777" w:rsidR="00CF3D53" w:rsidRDefault="00CF3D53">
      <w:pPr>
        <w:tabs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3A4B5D5D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08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78498116" w14:textId="77777777" w:rsidR="00CF3D53" w:rsidRDefault="00CF3D53">
      <w:pPr>
        <w:pStyle w:val="ListParagraph"/>
        <w:tabs>
          <w:tab w:val="left" w:pos="1080"/>
        </w:tabs>
        <w:spacing w:after="0" w:line="276" w:lineRule="auto"/>
        <w:ind w:left="1440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</w:p>
    <w:p w14:paraId="36EA340F" w14:textId="77777777" w:rsidR="00CF3D53" w:rsidRDefault="007B0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spacing w:line="360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 xml:space="preserve">SOS-Torture/Burundi was initiated with the aim of informing national and international opinion about serious human rights violations under way in Burundi through monitoring reports on torture, </w:t>
      </w:r>
      <w:r>
        <w:rPr>
          <w:rFonts w:cstheme="minorHAnsi"/>
          <w:i w:val="0"/>
          <w:sz w:val="24"/>
          <w:szCs w:val="24"/>
          <w:lang w:val="en-US"/>
        </w:rPr>
        <w:t>arbitrary arrests, enforced disappearances, sexual violence and summary executions.</w:t>
      </w:r>
    </w:p>
    <w:p w14:paraId="51DC0215" w14:textId="77777777" w:rsidR="00CF3D53" w:rsidRDefault="007B0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spacing w:line="360" w:lineRule="auto"/>
        <w:jc w:val="both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Fonts w:cstheme="minorHAnsi"/>
          <w:i w:val="0"/>
          <w:sz w:val="24"/>
          <w:szCs w:val="24"/>
          <w:lang w:val="en-US"/>
        </w:rPr>
        <w:t>This initiative to inform about the country's realities followed the carnage of around 100 people killed on 11 and 12 December 2015 by the police and soldiers under the pre</w:t>
      </w:r>
      <w:r>
        <w:rPr>
          <w:rFonts w:cstheme="minorHAnsi"/>
          <w:i w:val="0"/>
          <w:sz w:val="24"/>
          <w:szCs w:val="24"/>
          <w:lang w:val="en-US"/>
        </w:rPr>
        <w:t>text of pursuing rebels who had just attacked military camps on the outskirts of the capital City.</w:t>
      </w:r>
    </w:p>
    <w:p w14:paraId="0048C948" w14:textId="77777777" w:rsidR="00CF3D53" w:rsidRDefault="007B0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spacing w:line="360" w:lineRule="auto"/>
        <w:jc w:val="both"/>
      </w:pPr>
      <w:r>
        <w:rPr>
          <w:rFonts w:cstheme="minorHAnsi"/>
          <w:i w:val="0"/>
          <w:sz w:val="24"/>
          <w:szCs w:val="24"/>
          <w:lang w:val="en-US"/>
        </w:rPr>
        <w:t xml:space="preserve">The affected zones are said to be contesting President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Nkurunziza's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third term of office, namely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Musaga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Mutakura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Cibitoke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Nyakabiga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cstheme="minorHAnsi"/>
          <w:i w:val="0"/>
          <w:sz w:val="24"/>
          <w:szCs w:val="24"/>
          <w:lang w:val="en-US"/>
        </w:rPr>
        <w:t>Jabe</w:t>
      </w:r>
      <w:proofErr w:type="spellEnd"/>
      <w:proofErr w:type="gramEnd"/>
      <w:r>
        <w:rPr>
          <w:rFonts w:cstheme="minorHAnsi"/>
          <w:i w:val="0"/>
          <w:sz w:val="24"/>
          <w:szCs w:val="24"/>
          <w:lang w:val="en-US"/>
        </w:rPr>
        <w:t>, the last two be</w:t>
      </w:r>
      <w:r>
        <w:rPr>
          <w:rFonts w:cstheme="minorHAnsi"/>
          <w:i w:val="0"/>
          <w:sz w:val="24"/>
          <w:szCs w:val="24"/>
          <w:lang w:val="en-US"/>
        </w:rPr>
        <w:t xml:space="preserve">ing located in the </w:t>
      </w:r>
      <w:proofErr w:type="spellStart"/>
      <w:r>
        <w:rPr>
          <w:rFonts w:cstheme="minorHAnsi"/>
          <w:i w:val="0"/>
          <w:sz w:val="24"/>
          <w:szCs w:val="24"/>
          <w:lang w:val="en-US"/>
        </w:rPr>
        <w:t>centre</w:t>
      </w:r>
      <w:proofErr w:type="spellEnd"/>
      <w:r>
        <w:rPr>
          <w:rFonts w:cstheme="minorHAnsi"/>
          <w:i w:val="0"/>
          <w:sz w:val="24"/>
          <w:szCs w:val="24"/>
          <w:lang w:val="en-US"/>
        </w:rPr>
        <w:t xml:space="preserve"> of the Bujumbura City Hall. 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E4CC419" wp14:editId="420BE1C0">
                <wp:simplePos x="0" y="0"/>
                <wp:positionH relativeFrom="column">
                  <wp:posOffset>395605</wp:posOffset>
                </wp:positionH>
                <wp:positionV relativeFrom="paragraph">
                  <wp:align>top</wp:align>
                </wp:positionV>
                <wp:extent cx="5181600" cy="40449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0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FC1F7" w14:textId="77777777" w:rsidR="00CF3D53" w:rsidRDefault="00CF3D5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8pt;height:19.4pt;mso-wrap-distance-left:5.7pt;mso-wrap-distance-right:5.7pt;mso-wrap-distance-top:5.7pt;mso-wrap-distance-bottom:5.7pt;margin-top:5.7pt;mso-position-vertical:top;mso-position-vertical-relative:text;margin-left:31.1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CE06774" wp14:editId="27EDABC7">
                <wp:simplePos x="0" y="0"/>
                <wp:positionH relativeFrom="column">
                  <wp:posOffset>681990</wp:posOffset>
                </wp:positionH>
                <wp:positionV relativeFrom="paragraph">
                  <wp:align>top</wp:align>
                </wp:positionV>
                <wp:extent cx="7105650" cy="404495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40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0D9340" w14:textId="77777777" w:rsidR="00CF3D53" w:rsidRDefault="00CF3D5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9.5pt;height:19.4pt;mso-wrap-distance-left:5.7pt;mso-wrap-distance-right:5.7pt;mso-wrap-distance-top:5.7pt;mso-wrap-distance-bottom:5.7pt;margin-top:5.7pt;mso-position-vertical:top;mso-position-vertical-relative:text;margin-left:53.7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 w:rsidR="00CF3D53">
      <w:headerReference w:type="default" r:id="rId10"/>
      <w:pgSz w:w="11906" w:h="16838"/>
      <w:pgMar w:top="1417" w:right="1417" w:bottom="1417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9964" w14:textId="77777777" w:rsidR="00000000" w:rsidRDefault="007B0F19">
      <w:pPr>
        <w:spacing w:after="0" w:line="240" w:lineRule="auto"/>
      </w:pPr>
      <w:r>
        <w:separator/>
      </w:r>
    </w:p>
  </w:endnote>
  <w:endnote w:type="continuationSeparator" w:id="0">
    <w:p w14:paraId="6D89773E" w14:textId="77777777" w:rsidR="00000000" w:rsidRDefault="007B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B494" w14:textId="77777777" w:rsidR="00000000" w:rsidRDefault="007B0F19">
      <w:pPr>
        <w:spacing w:after="0" w:line="240" w:lineRule="auto"/>
      </w:pPr>
      <w:r>
        <w:separator/>
      </w:r>
    </w:p>
  </w:footnote>
  <w:footnote w:type="continuationSeparator" w:id="0">
    <w:p w14:paraId="003AA37C" w14:textId="77777777" w:rsidR="00000000" w:rsidRDefault="007B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2AAC" w14:textId="77777777" w:rsidR="00CF3D53" w:rsidRDefault="007B0F19">
    <w:pPr>
      <w:pStyle w:val="Header"/>
    </w:pPr>
    <w:r>
      <w:rPr>
        <w:noProof/>
        <w:lang w:val="en-US"/>
      </w:rPr>
      <w:drawing>
        <wp:inline distT="0" distB="0" distL="0" distR="0" wp14:anchorId="5467A6C2" wp14:editId="27754A21">
          <wp:extent cx="5753100" cy="904875"/>
          <wp:effectExtent l="0" t="0" r="0" b="0"/>
          <wp:docPr id="6" name="_x005F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x005F_x0000_t7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7" behindDoc="1" locked="0" layoutInCell="1" allowOverlap="1" wp14:anchorId="59A98BCF" wp14:editId="58656A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2235" cy="1114425"/>
              <wp:effectExtent l="0" t="1619250" r="0" b="1457325"/>
              <wp:wrapNone/>
              <wp:docPr id="4" name="4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182235" cy="1114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25A901" w14:textId="77777777" w:rsidR="00CF3D53" w:rsidRDefault="007B0F19">
                          <w:pPr>
                            <w:pStyle w:val="NormalWeb"/>
                            <w:spacing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4100" stroked="f" style="position:absolute;margin-left:22.8pt;margin-top:278.65pt;width:407.95pt;height:94.8pt;rotation:315;mso-position-horizontal:center;mso-position-horizontal-relative:margin;mso-position-vertical:center;mso-position-vertical-relative:margin" wp14:anchorId="2DA979E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Web"/>
                      <w:spacing w:beforeAutospacing="0" w:before="0" w:afterAutospacing="0" w:after="0"/>
                      <w:jc w:val="center"/>
                      <w:rPr/>
                    </w:pPr>
                    <w:r>
                      <w:rPr>
                        <w:rFonts w:cs="Calibri" w:ascii="Calibri" w:hAnsi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</v:rect>
          </w:pict>
        </mc:Fallback>
      </mc:AlternateContent>
    </w:r>
  </w:p>
  <w:p w14:paraId="2A1FAFE6" w14:textId="77777777" w:rsidR="00CF3D53" w:rsidRDefault="00CF3D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DC1"/>
    <w:multiLevelType w:val="multilevel"/>
    <w:tmpl w:val="7EC26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096F25"/>
    <w:multiLevelType w:val="multilevel"/>
    <w:tmpl w:val="75A4A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AC7"/>
    <w:multiLevelType w:val="multilevel"/>
    <w:tmpl w:val="A926882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3"/>
    <w:rsid w:val="007B0F19"/>
    <w:rsid w:val="00C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4F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SimSu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qFormat/>
    <w:rsid w:val="00EB5D0E"/>
  </w:style>
  <w:style w:type="character" w:customStyle="1" w:styleId="BodyTextChar">
    <w:name w:val="Body Text Char"/>
    <w:basedOn w:val="DefaultParagraphFont"/>
    <w:link w:val="BodyText"/>
    <w:qFormat/>
    <w:rsid w:val="00A35F16"/>
    <w:rPr>
      <w:rFonts w:ascii="Times New Roman" w:eastAsia="Times New Roman" w:hAnsi="Times New Roman" w:cs="Mangal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577E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F6F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Calibri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qFormat/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tweettextsize">
    <w:name w:val="tweettextsize"/>
    <w:basedOn w:val="Normal"/>
    <w:qFormat/>
    <w:rsid w:val="00C05015"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F6F25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F6F25"/>
    <w:rPr>
      <w:b/>
      <w:bCs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SimSu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qFormat/>
    <w:rsid w:val="00EB5D0E"/>
  </w:style>
  <w:style w:type="character" w:customStyle="1" w:styleId="BodyTextChar">
    <w:name w:val="Body Text Char"/>
    <w:basedOn w:val="DefaultParagraphFont"/>
    <w:link w:val="BodyText"/>
    <w:qFormat/>
    <w:rsid w:val="00A35F16"/>
    <w:rPr>
      <w:rFonts w:ascii="Times New Roman" w:eastAsia="Times New Roman" w:hAnsi="Times New Roman" w:cs="Mangal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577E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F6F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Calibri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qFormat/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tweettextsize">
    <w:name w:val="tweettextsize"/>
    <w:basedOn w:val="Normal"/>
    <w:qFormat/>
    <w:rsid w:val="00C05015"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F6F25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F6F25"/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412AA-19A3-7241-9848-685C198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925</Words>
  <Characters>5177</Characters>
  <Application>Microsoft Macintosh Word</Application>
  <DocSecurity>0</DocSecurity>
  <Lines>141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SOS-TORTURE / BURUNDI</dc:creator>
  <dc:description/>
  <cp:lastModifiedBy>Jean-Marie Vianney  Kavumbagu</cp:lastModifiedBy>
  <cp:revision>5</cp:revision>
  <dcterms:created xsi:type="dcterms:W3CDTF">2019-02-17T00:23:00Z</dcterms:created>
  <dcterms:modified xsi:type="dcterms:W3CDTF">2019-02-17T12:01:00Z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